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000000"/>
          <w:lang w:eastAsia="ru-RU"/>
        </w:rPr>
        <w:t>НАЦИОНАЛЬНЫЙ ОТКРЫТЫЙ ИНСТИТУТ РОССИИ г.САНКТ-ПЕТЕРБУРГ</w:t>
      </w:r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тел: 8-800-200-09-70 (звонок по России бесплатный),  т. 8(812) 430-14-01,</w:t>
      </w:r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т/</w:t>
      </w:r>
      <w:proofErr w:type="spellStart"/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spellEnd"/>
      <w:r w:rsidRPr="00351A64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8(812) 334-68-28,</w:t>
      </w:r>
      <w:r w:rsidRPr="00351A64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</w:t>
      </w:r>
      <w:r w:rsidRPr="00351A6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fldChar w:fldCharType="begin"/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HYPERLINK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"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http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://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www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.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nouronline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.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ru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/" \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t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"_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blank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" 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fldChar w:fldCharType="separate"/>
      </w:r>
      <w:r w:rsidRPr="00351A64">
        <w:rPr>
          <w:rFonts w:ascii="Arial" w:eastAsia="Times New Roman" w:hAnsi="Arial" w:cs="Arial"/>
          <w:color w:val="0857A6"/>
          <w:sz w:val="20"/>
          <w:u w:val="single"/>
          <w:lang w:val="en-US" w:eastAsia="ru-RU"/>
        </w:rPr>
        <w:t>www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eastAsia="ru-RU"/>
        </w:rPr>
        <w:t>.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val="en-US" w:eastAsia="ru-RU"/>
        </w:rPr>
        <w:t>nouronline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eastAsia="ru-RU"/>
        </w:rPr>
        <w:t>.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val="en-US" w:eastAsia="ru-RU"/>
        </w:rPr>
        <w:t>ru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fldChar w:fldCharType="end"/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mail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351A64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fldChar w:fldCharType="begin"/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HYPERLINK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"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https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://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e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.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mail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.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ru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/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cgi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-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bin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/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sentmsg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?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mailto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=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mailto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%3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apk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@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nouronline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.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ru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" \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t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"_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>blank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" </w:instrTex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fldChar w:fldCharType="separate"/>
      </w:r>
      <w:r w:rsidRPr="00351A64">
        <w:rPr>
          <w:rFonts w:ascii="Arial" w:eastAsia="Times New Roman" w:hAnsi="Arial" w:cs="Arial"/>
          <w:color w:val="0857A6"/>
          <w:sz w:val="20"/>
          <w:u w:val="single"/>
          <w:lang w:val="en-US" w:eastAsia="ru-RU"/>
        </w:rPr>
        <w:t>pk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eastAsia="ru-RU"/>
        </w:rPr>
        <w:t>@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val="en-US" w:eastAsia="ru-RU"/>
        </w:rPr>
        <w:t>nouronline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eastAsia="ru-RU"/>
        </w:rPr>
        <w:t>.</w:t>
      </w:r>
      <w:r w:rsidRPr="00351A64">
        <w:rPr>
          <w:rFonts w:ascii="Arial" w:eastAsia="Times New Roman" w:hAnsi="Arial" w:cs="Arial"/>
          <w:color w:val="0857A6"/>
          <w:sz w:val="20"/>
          <w:u w:val="single"/>
          <w:lang w:val="en-US" w:eastAsia="ru-RU"/>
        </w:rPr>
        <w:t>ru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fldChar w:fldCharType="end"/>
      </w:r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 </w:t>
      </w:r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ОБЯЗАТЕЛЬНАЯ регистрация участников до оплаты!</w:t>
      </w:r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Курс профессиональной переподготовки по программе:</w:t>
      </w:r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993300"/>
          <w:sz w:val="20"/>
          <w:szCs w:val="20"/>
          <w:lang w:eastAsia="ru-RU"/>
        </w:rPr>
        <w:t> «ГЛАВНЫЙ ИНЖЕНЕР ПРОЕКТА»</w:t>
      </w:r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C</w:t>
      </w:r>
      <w:proofErr w:type="gramEnd"/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рок</w:t>
      </w:r>
      <w:proofErr w:type="spellEnd"/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обучения – 2,5 месяца</w:t>
      </w:r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(включая </w:t>
      </w:r>
      <w:r w:rsidRPr="00351A6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1 неделю</w:t>
      </w:r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очных занятий в Санкт-Петербурге)</w:t>
      </w:r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Даты очных занятий (на выбор):</w:t>
      </w:r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с 3 по 7 июня 2013г.,</w:t>
      </w:r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с 22 по 26 июля 2013г</w:t>
      </w:r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Процесс </w:t>
      </w:r>
      <w:proofErr w:type="gramStart"/>
      <w:r w:rsidRPr="00351A6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обучения по</w:t>
      </w:r>
      <w:proofErr w:type="gramEnd"/>
      <w:r w:rsidRPr="00351A6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данному курсу состоит из нескольких этапов:</w:t>
      </w:r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Подать заявку на обучение</w:t>
      </w:r>
      <w:r w:rsidRPr="00351A6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351A6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</w:t>
      </w:r>
      <w:proofErr w:type="gramEnd"/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  <w:r w:rsidRPr="00351A6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8-800-200-09-70 (звонок по России бесплатный),</w:t>
      </w:r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(812)</w:t>
      </w:r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430-14-01, 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т/</w:t>
      </w:r>
      <w:proofErr w:type="spellStart"/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spellEnd"/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8 (812) 334-68-28,  8-921-930-20-81, </w:t>
      </w:r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351A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351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</w:t>
      </w:r>
      <w:hyperlink r:id="rId4" w:tgtFrame="_blank" w:history="1">
        <w:r w:rsidRPr="00351A64">
          <w:rPr>
            <w:rFonts w:ascii="Arial" w:eastAsia="Times New Roman" w:hAnsi="Arial" w:cs="Arial"/>
            <w:b/>
            <w:bCs/>
            <w:color w:val="0857A6"/>
            <w:sz w:val="20"/>
            <w:u w:val="single"/>
            <w:lang w:eastAsia="ru-RU"/>
          </w:rPr>
          <w:t>pk@nouronline.ru</w:t>
        </w:r>
        <w:proofErr w:type="spellEnd"/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2. Заключить договор на обучение.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3. Получить техническое задание.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4. Оплатить договор по счету.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5. Получить доступ к дистанционным лекциям (после поступления оплаты на расчетный счет Института). 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6. Приступить к  изучению материалов курса самостоятельно (</w:t>
        </w:r>
        <w:proofErr w:type="spellStart"/>
        <w:r w:rsidRPr="00351A64">
          <w:rPr>
            <w:rFonts w:ascii="Arial" w:eastAsia="Times New Roman" w:hAnsi="Arial" w:cs="Arial"/>
            <w:sz w:val="20"/>
            <w:lang w:eastAsia="ru-RU"/>
          </w:rPr>
          <w:t>видеолекции</w:t>
        </w:r>
        <w:proofErr w:type="spellEnd"/>
        <w:r w:rsidRPr="00351A64">
          <w:rPr>
            <w:rFonts w:ascii="Arial" w:eastAsia="Times New Roman" w:hAnsi="Arial" w:cs="Arial"/>
            <w:sz w:val="20"/>
            <w:lang w:eastAsia="ru-RU"/>
          </w:rPr>
          <w:t>, выполнение контрольных работ). По всем возникающим вопросам по программе курса и выполнению задания можно обращаться к преподавателю по электронной почте или на форуме образовательного портала.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7. Очные занятия и консультирование по вопросам выполнения задания проводятся в институте по адресу: ул. </w:t>
        </w:r>
        <w:proofErr w:type="spellStart"/>
        <w:r w:rsidRPr="00351A64">
          <w:rPr>
            <w:rFonts w:ascii="Arial" w:eastAsia="Times New Roman" w:hAnsi="Arial" w:cs="Arial"/>
            <w:sz w:val="20"/>
            <w:lang w:eastAsia="ru-RU"/>
          </w:rPr>
          <w:t>Сестрорецкая</w:t>
        </w:r>
        <w:proofErr w:type="spellEnd"/>
        <w:r w:rsidRPr="00351A64">
          <w:rPr>
            <w:rFonts w:ascii="Arial" w:eastAsia="Times New Roman" w:hAnsi="Arial" w:cs="Arial"/>
            <w:sz w:val="20"/>
            <w:lang w:eastAsia="ru-RU"/>
          </w:rPr>
          <w:t>, 6.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8. Продолжить самостоятельно изучать материалы курса с помощью </w:t>
        </w:r>
        <w:proofErr w:type="spellStart"/>
        <w:r w:rsidRPr="00351A64">
          <w:rPr>
            <w:rFonts w:ascii="Arial" w:eastAsia="Times New Roman" w:hAnsi="Arial" w:cs="Arial"/>
            <w:sz w:val="20"/>
            <w:lang w:eastAsia="ru-RU"/>
          </w:rPr>
          <w:t>видеолекций</w:t>
        </w:r>
        <w:proofErr w:type="spellEnd"/>
        <w:r w:rsidRPr="00351A64">
          <w:rPr>
            <w:rFonts w:ascii="Arial" w:eastAsia="Times New Roman" w:hAnsi="Arial" w:cs="Arial"/>
            <w:sz w:val="20"/>
            <w:lang w:eastAsia="ru-RU"/>
          </w:rPr>
          <w:t>.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9. Разработать проект в соответствии с заданием. Сдать выполненный проект в печатном и электронном виде. Представить данную квалификационную работу  в назначенную дату в институте.</w:t>
        </w:r>
      </w:hyperlink>
    </w:p>
    <w:p w:rsidR="00351A64" w:rsidRPr="00351A64" w:rsidRDefault="00351A64" w:rsidP="0035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10. При успешном выполнении задания получить Диплом о профессиональном образовании «Главный инженер проекта» и бухгалтерские документы.</w:t>
        </w:r>
      </w:hyperlink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 </w:t>
        </w:r>
      </w:hyperlink>
    </w:p>
    <w:p w:rsidR="00351A64" w:rsidRPr="00351A64" w:rsidRDefault="00351A64" w:rsidP="00351A64">
      <w:pPr>
        <w:shd w:val="clear" w:color="auto" w:fill="FFFFFF"/>
        <w:spacing w:before="40" w:after="0" w:line="240" w:lineRule="auto"/>
        <w:ind w:left="1077" w:hanging="107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Программа курса: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Нормативная база проектирования.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Виды нормативов. Состав нормативов. Правила использования.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2.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Задание на проектирование.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Состав задания. Обязательные строки. Необязательные строки. Приложения.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3.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Организация и планирование процесса проектирования.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Состав проекта. Логика процесса выполнения. Графики выполнения, их оптимизация и расчет срока.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4.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Стоимость работ по проектированию</w:t>
        </w:r>
        <w:r w:rsidRPr="00351A64">
          <w:rPr>
            <w:rFonts w:ascii="Arial" w:eastAsia="Times New Roman" w:hAnsi="Arial" w:cs="Arial"/>
            <w:sz w:val="20"/>
            <w:lang w:eastAsia="ru-RU"/>
          </w:rPr>
          <w:t>. </w:t>
        </w:r>
        <w:proofErr w:type="spellStart"/>
        <w:r w:rsidRPr="00351A64">
          <w:rPr>
            <w:rFonts w:ascii="Arial" w:eastAsia="Times New Roman" w:hAnsi="Arial" w:cs="Arial"/>
            <w:sz w:val="20"/>
            <w:lang w:eastAsia="ru-RU"/>
          </w:rPr>
          <w:t>Базисно-индексный</w:t>
        </w:r>
        <w:proofErr w:type="spellEnd"/>
        <w:r w:rsidRPr="00351A64">
          <w:rPr>
            <w:rFonts w:ascii="Arial" w:eastAsia="Times New Roman" w:hAnsi="Arial" w:cs="Arial"/>
            <w:sz w:val="20"/>
            <w:lang w:eastAsia="ru-RU"/>
          </w:rPr>
          <w:t> и </w:t>
        </w:r>
        <w:proofErr w:type="gramStart"/>
        <w:r w:rsidRPr="00351A64">
          <w:rPr>
            <w:rFonts w:ascii="Arial" w:eastAsia="Times New Roman" w:hAnsi="Arial" w:cs="Arial"/>
            <w:sz w:val="20"/>
            <w:lang w:eastAsia="ru-RU"/>
          </w:rPr>
          <w:t>ресурсный</w:t>
        </w:r>
        <w:proofErr w:type="gramEnd"/>
        <w:r w:rsidRPr="00351A64">
          <w:rPr>
            <w:rFonts w:ascii="Arial" w:eastAsia="Times New Roman" w:hAnsi="Arial" w:cs="Arial"/>
            <w:sz w:val="20"/>
            <w:lang w:eastAsia="ru-RU"/>
          </w:rPr>
          <w:t> методы расчета стоимости. Формы сметной документации.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5.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Предварительные работы.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Определение необходимых исходных данных. Порядок сбора необходимых исходных данных.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6.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Обследования.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 Задание на обследование.  Состав работ. Отчет об обследовании.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7.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Инженерные изыскания.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Виды изысканий. Определение необходимых изысканий. Программа изысканий и отчет об изысканиях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8.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Генеральный план и связанные с ним вопросы.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Противопожарные правила размещения объектов. Правила, связанные  с освещением, акустикой и экологическими ограничениями. СЗЗ и ЗСО. Баланс земляных масс. Состав раздела.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9.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Экологические разделы проекта.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ООС. Состав и порядок разработки раздела. ОВОС. Процедура и отчет. ТРОСО. Порядок разработки и состав раздела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10.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Архитектурно-конструктивные решения.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Правила и ограничения архитектурно-планировочных решений. Состав </w:t>
        </w:r>
        <w:proofErr w:type="gramStart"/>
        <w:r w:rsidRPr="00351A64">
          <w:rPr>
            <w:rFonts w:ascii="Arial" w:eastAsia="Times New Roman" w:hAnsi="Arial" w:cs="Arial"/>
            <w:sz w:val="20"/>
            <w:lang w:eastAsia="ru-RU"/>
          </w:rPr>
          <w:t>архитектурных решений</w:t>
        </w:r>
        <w:proofErr w:type="gramEnd"/>
        <w:r w:rsidRPr="00351A64">
          <w:rPr>
            <w:rFonts w:ascii="Arial" w:eastAsia="Times New Roman" w:hAnsi="Arial" w:cs="Arial"/>
            <w:sz w:val="20"/>
            <w:lang w:eastAsia="ru-RU"/>
          </w:rPr>
          <w:t> и правила их проверки. Состав конструктивных решений, правила их проверки.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11.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Технологические решения.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Состав технологических решений, необходимые исходные данные и порядок проверки.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12.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Инженерные разделы проекта.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Состав разделов, состав решений в разделах, их стыковка. Определение исходных данных</w:t>
        </w:r>
        <w:proofErr w:type="gramStart"/>
        <w:r w:rsidRPr="00351A64">
          <w:rPr>
            <w:rFonts w:ascii="Arial" w:eastAsia="Times New Roman" w:hAnsi="Arial" w:cs="Arial"/>
            <w:sz w:val="20"/>
            <w:lang w:eastAsia="ru-RU"/>
          </w:rPr>
          <w:t> ,</w:t>
        </w:r>
        <w:proofErr w:type="gramEnd"/>
        <w:r w:rsidRPr="00351A64">
          <w:rPr>
            <w:rFonts w:ascii="Arial" w:eastAsia="Times New Roman" w:hAnsi="Arial" w:cs="Arial"/>
            <w:sz w:val="20"/>
            <w:lang w:eastAsia="ru-RU"/>
          </w:rPr>
          <w:t> порядок проверки решений.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13.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proofErr w:type="spellStart"/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Энергоэффективность</w:t>
        </w:r>
        <w:proofErr w:type="spellEnd"/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 и связанные с ней вопросы.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Основные понятия. </w:t>
        </w:r>
        <w:proofErr w:type="spellStart"/>
        <w:r w:rsidRPr="00351A64">
          <w:rPr>
            <w:rFonts w:ascii="Arial" w:eastAsia="Times New Roman" w:hAnsi="Arial" w:cs="Arial"/>
            <w:sz w:val="20"/>
            <w:lang w:eastAsia="ru-RU"/>
          </w:rPr>
          <w:t>Энергоэффективный</w:t>
        </w:r>
        <w:proofErr w:type="spellEnd"/>
        <w:r w:rsidRPr="00351A64">
          <w:rPr>
            <w:rFonts w:ascii="Arial" w:eastAsia="Times New Roman" w:hAnsi="Arial" w:cs="Arial"/>
            <w:sz w:val="20"/>
            <w:lang w:eastAsia="ru-RU"/>
          </w:rPr>
          <w:t> подход к проектированию. </w:t>
        </w:r>
        <w:proofErr w:type="spellStart"/>
        <w:r w:rsidRPr="00351A64">
          <w:rPr>
            <w:rFonts w:ascii="Arial" w:eastAsia="Times New Roman" w:hAnsi="Arial" w:cs="Arial"/>
            <w:sz w:val="20"/>
            <w:lang w:eastAsia="ru-RU"/>
          </w:rPr>
          <w:t>Энергопаспорт</w:t>
        </w:r>
        <w:proofErr w:type="spellEnd"/>
        <w:r w:rsidRPr="00351A64">
          <w:rPr>
            <w:rFonts w:ascii="Arial" w:eastAsia="Times New Roman" w:hAnsi="Arial" w:cs="Arial"/>
            <w:sz w:val="20"/>
            <w:lang w:eastAsia="ru-RU"/>
          </w:rPr>
          <w:t> и раздел </w:t>
        </w:r>
        <w:proofErr w:type="spellStart"/>
        <w:r w:rsidRPr="00351A64">
          <w:rPr>
            <w:rFonts w:ascii="Arial" w:eastAsia="Times New Roman" w:hAnsi="Arial" w:cs="Arial"/>
            <w:sz w:val="20"/>
            <w:lang w:eastAsia="ru-RU"/>
          </w:rPr>
          <w:t>энергоэффективность</w:t>
        </w:r>
        <w:proofErr w:type="spellEnd"/>
        <w:r w:rsidRPr="00351A64">
          <w:rPr>
            <w:rFonts w:ascii="Arial" w:eastAsia="Times New Roman" w:hAnsi="Arial" w:cs="Arial"/>
            <w:sz w:val="20"/>
            <w:lang w:eastAsia="ru-RU"/>
          </w:rPr>
          <w:t> проекта.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14.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Пожарная безопасность</w:t>
        </w:r>
        <w:r w:rsidRPr="00351A64">
          <w:rPr>
            <w:rFonts w:ascii="Arial" w:eastAsia="Times New Roman" w:hAnsi="Arial" w:cs="Arial"/>
            <w:sz w:val="20"/>
            <w:lang w:eastAsia="ru-RU"/>
          </w:rPr>
          <w:t>. Нормативы. Взаимосвязь с другими разделами. Ограничения для других разделов. Состав раздела.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15.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Оформление проектной документации.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Норматив. Шифр, титул, сшивки и подписи.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16.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Проект организации строительства</w:t>
        </w:r>
        <w:r w:rsidRPr="00351A64">
          <w:rPr>
            <w:rFonts w:ascii="Arial" w:eastAsia="Times New Roman" w:hAnsi="Arial" w:cs="Arial"/>
            <w:sz w:val="20"/>
            <w:lang w:eastAsia="ru-RU"/>
          </w:rPr>
          <w:t>. Нормативная база. Состав раздела. Рассчитываемые параметры и правила расчетов.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17.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Экспертиза и согласование.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Виды экспертиз. Прохождение обязательной государственной экспертизы. Стоимость экспертизы. Сроки. Негосударственная экспертиза. Согласования, порядок действий.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18.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Проектирование капитального ремонта.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Нормативная база. Состав документации. Порядок разработки и согласования.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19.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Авторский надзор</w:t>
        </w:r>
        <w:r w:rsidRPr="00351A64">
          <w:rPr>
            <w:rFonts w:ascii="Arial" w:eastAsia="Times New Roman" w:hAnsi="Arial" w:cs="Arial"/>
            <w:sz w:val="20"/>
            <w:lang w:eastAsia="ru-RU"/>
          </w:rPr>
          <w:t>. Задачи. Стоимость. Отчетность. Предписания.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20.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Договор на проектные работы.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Состав пунктов. Обязательные и необязательные пункты. Взаимодействие с заказчиком. Приемка проекта.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21.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Менеджмент снабжения проекта</w:t>
        </w:r>
        <w:r w:rsidRPr="00351A64">
          <w:rPr>
            <w:rFonts w:ascii="Arial" w:eastAsia="Times New Roman" w:hAnsi="Arial" w:cs="Arial"/>
            <w:sz w:val="20"/>
            <w:lang w:eastAsia="ru-RU"/>
          </w:rPr>
          <w:t>.</w:t>
        </w:r>
        <w:r w:rsidRPr="00351A64">
          <w:rPr>
            <w:rFonts w:ascii="Arial" w:eastAsia="Times New Roman" w:hAnsi="Arial" w:cs="Arial"/>
            <w:i/>
            <w:iCs/>
            <w:sz w:val="20"/>
            <w:lang w:eastAsia="ru-RU"/>
          </w:rPr>
          <w:t> </w:t>
        </w:r>
        <w:r w:rsidRPr="00351A64">
          <w:rPr>
            <w:rFonts w:ascii="Arial" w:eastAsia="Times New Roman" w:hAnsi="Arial" w:cs="Arial"/>
            <w:sz w:val="20"/>
            <w:lang w:eastAsia="ru-RU"/>
          </w:rPr>
          <w:t>Планирование поставок; выбор поставщиков; планирование и получение предложений от поставщиков; управление и завершение контрактов.  Типа используемых контрактов; регламенты по работе с поставщиками; тендерные процедуры.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tgtFrame="_blank" w:history="1"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22.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Менеджмент персонала проекта.</w:t>
        </w:r>
        <w:r w:rsidRPr="00351A64">
          <w:rPr>
            <w:rFonts w:ascii="Arial" w:eastAsia="Times New Roman" w:hAnsi="Arial" w:cs="Arial"/>
            <w:sz w:val="20"/>
            <w:lang w:eastAsia="ru-RU"/>
          </w:rPr>
          <w:t> Организационное планирование; подбор персонала; развитие команды. Построение диаграмм занятости ресурса, матрицы ответственностей; регламенты разрешения конфликтов при привлечении персонала функциональных подразделений в проект, при предварительных назначениях; работа с персоналом, с учетом основ мотивации исполнителей; методы анализа причин и способы разрешения конфликтов; распределение полномочий в проекте.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tgtFrame="_blank" w:history="1">
        <w:r w:rsidRPr="00351A64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23.</w:t>
        </w:r>
        <w:r w:rsidRPr="00351A64">
          <w:rPr>
            <w:rFonts w:ascii="Times New Roman" w:eastAsia="Times New Roman" w:hAnsi="Times New Roman" w:cs="Times New Roman"/>
            <w:sz w:val="14"/>
            <w:lang w:eastAsia="ru-RU"/>
          </w:rPr>
          <w:t>  </w:t>
        </w:r>
        <w:r w:rsidRPr="00351A64">
          <w:rPr>
            <w:rFonts w:ascii="Arial" w:eastAsia="Times New Roman" w:hAnsi="Arial" w:cs="Arial"/>
            <w:b/>
            <w:bCs/>
            <w:sz w:val="20"/>
            <w:lang w:eastAsia="ru-RU"/>
          </w:rPr>
          <w:t>Менеджмент рисков проекта.</w:t>
        </w:r>
        <w:r w:rsidRPr="00351A64">
          <w:rPr>
            <w:rFonts w:ascii="Arial" w:eastAsia="Times New Roman" w:hAnsi="Arial" w:cs="Arial"/>
            <w:i/>
            <w:iCs/>
            <w:sz w:val="20"/>
            <w:lang w:eastAsia="ru-RU"/>
          </w:rPr>
          <w:t> </w:t>
        </w:r>
        <w:r w:rsidRPr="00351A64">
          <w:rPr>
            <w:rFonts w:ascii="Arial" w:eastAsia="Times New Roman" w:hAnsi="Arial" w:cs="Arial"/>
            <w:sz w:val="20"/>
            <w:lang w:eastAsia="ru-RU"/>
          </w:rPr>
          <w:t>Определение и идентификация рисков (категории рисков, известные риски и неизвестные риски, величина риска, вероятность возникновения и степень влияния риска); составление бюджета управления рисками; определение вероятности исполнения заданных сроков и бюджета проекта; методы реагирования на риск (избежание, передача, смягчение и принятие); контролирование симптомов риска (триггеры).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" w:tgtFrame="_blank" w:history="1">
        <w:r w:rsidRPr="00351A64">
          <w:rPr>
            <w:rFonts w:ascii="Arial" w:eastAsia="Times New Roman" w:hAnsi="Arial" w:cs="Arial"/>
            <w:sz w:val="20"/>
            <w:lang w:eastAsia="ru-RU"/>
          </w:rPr>
          <w:t> 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ind w:hanging="35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" w:tgtFrame="_blank" w:history="1">
        <w:r w:rsidRPr="00351A64">
          <w:rPr>
            <w:rFonts w:ascii="Arial" w:eastAsia="Times New Roman" w:hAnsi="Arial" w:cs="Arial"/>
            <w:lang w:eastAsia="ru-RU"/>
          </w:rPr>
          <w:t>По окончании обучения выдается </w:t>
        </w:r>
        <w:r w:rsidRPr="00351A64">
          <w:rPr>
            <w:rFonts w:ascii="Arial" w:eastAsia="Times New Roman" w:hAnsi="Arial" w:cs="Arial"/>
            <w:b/>
            <w:bCs/>
            <w:lang w:eastAsia="ru-RU"/>
          </w:rPr>
          <w:t>диплом о профессиональной переподготовке.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" w:tgtFrame="_blank" w:history="1">
        <w:r w:rsidRPr="00351A64">
          <w:rPr>
            <w:rFonts w:ascii="Arial" w:eastAsia="Times New Roman" w:hAnsi="Arial" w:cs="Arial"/>
            <w:b/>
            <w:bCs/>
            <w:lang w:eastAsia="ru-RU"/>
          </w:rPr>
          <w:t>Место проведения</w:t>
        </w:r>
        <w:r w:rsidRPr="00351A64">
          <w:rPr>
            <w:rFonts w:ascii="Arial" w:eastAsia="Times New Roman" w:hAnsi="Arial" w:cs="Arial"/>
            <w:lang w:eastAsia="ru-RU"/>
          </w:rPr>
          <w:t> </w:t>
        </w:r>
        <w:proofErr w:type="gramStart"/>
        <w:r w:rsidRPr="00351A64">
          <w:rPr>
            <w:rFonts w:ascii="Arial" w:eastAsia="Times New Roman" w:hAnsi="Arial" w:cs="Arial"/>
            <w:lang w:eastAsia="ru-RU"/>
          </w:rPr>
          <w:t>–г</w:t>
        </w:r>
        <w:proofErr w:type="gramEnd"/>
        <w:r w:rsidRPr="00351A64">
          <w:rPr>
            <w:rFonts w:ascii="Arial" w:eastAsia="Times New Roman" w:hAnsi="Arial" w:cs="Arial"/>
            <w:lang w:eastAsia="ru-RU"/>
          </w:rPr>
          <w:t>. Санкт-Петербург, ул. </w:t>
        </w:r>
        <w:proofErr w:type="spellStart"/>
        <w:r w:rsidRPr="00351A64">
          <w:rPr>
            <w:rFonts w:ascii="Arial" w:eastAsia="Times New Roman" w:hAnsi="Arial" w:cs="Arial"/>
            <w:lang w:eastAsia="ru-RU"/>
          </w:rPr>
          <w:t>Сестрорецкая</w:t>
        </w:r>
        <w:proofErr w:type="spellEnd"/>
        <w:r w:rsidRPr="00351A64">
          <w:rPr>
            <w:rFonts w:ascii="Arial" w:eastAsia="Times New Roman" w:hAnsi="Arial" w:cs="Arial"/>
            <w:lang w:eastAsia="ru-RU"/>
          </w:rPr>
          <w:t>, д.6 </w:t>
        </w:r>
        <w:r w:rsidRPr="00351A64">
          <w:rPr>
            <w:rFonts w:ascii="Arial" w:eastAsia="Times New Roman" w:hAnsi="Arial" w:cs="Arial"/>
            <w:i/>
            <w:iCs/>
            <w:sz w:val="20"/>
            <w:lang w:eastAsia="ru-RU"/>
          </w:rPr>
          <w:t>(станция метро «Чёрная речка»).</w:t>
        </w:r>
      </w:hyperlink>
    </w:p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" w:tgtFrame="_blank" w:history="1">
        <w:r w:rsidRPr="00351A64">
          <w:rPr>
            <w:rFonts w:ascii="Arial" w:eastAsia="Times New Roman" w:hAnsi="Arial" w:cs="Arial"/>
            <w:i/>
            <w:iCs/>
            <w:sz w:val="10"/>
            <w:lang w:eastAsia="ru-RU"/>
          </w:rPr>
          <w:t> 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1"/>
        <w:gridCol w:w="5560"/>
      </w:tblGrid>
      <w:tr w:rsidR="00351A64" w:rsidRPr="00351A64" w:rsidTr="00351A64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3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Стоимость обучения</w:t>
              </w:r>
            </w:hyperlink>
          </w:p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4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для </w:t>
              </w:r>
              <w:r w:rsidRPr="00351A64">
                <w:rPr>
                  <w:rFonts w:ascii="Arial" w:eastAsia="Times New Roman" w:hAnsi="Arial" w:cs="Arial"/>
                  <w:b/>
                  <w:bCs/>
                  <w:sz w:val="20"/>
                  <w:lang w:eastAsia="ru-RU"/>
                </w:rPr>
                <w:t>жителей Санкт-Петербурга</w:t>
              </w:r>
            </w:hyperlink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5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Стоимость обучения</w:t>
              </w:r>
            </w:hyperlink>
          </w:p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6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для </w:t>
              </w:r>
              <w:r w:rsidRPr="00351A64">
                <w:rPr>
                  <w:rFonts w:ascii="Arial" w:eastAsia="Times New Roman" w:hAnsi="Arial" w:cs="Arial"/>
                  <w:b/>
                  <w:bCs/>
                  <w:sz w:val="20"/>
                  <w:lang w:eastAsia="ru-RU"/>
                </w:rPr>
                <w:t>иногородних</w:t>
              </w:r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 слушателей</w:t>
              </w:r>
            </w:hyperlink>
          </w:p>
        </w:tc>
      </w:tr>
      <w:tr w:rsidR="00351A64" w:rsidRPr="00351A64" w:rsidTr="00351A64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7" w:tgtFrame="_blank" w:history="1">
              <w:r w:rsidRPr="00351A64">
                <w:rPr>
                  <w:rFonts w:ascii="Arial" w:eastAsia="Times New Roman" w:hAnsi="Arial" w:cs="Arial"/>
                  <w:b/>
                  <w:bCs/>
                  <w:lang w:eastAsia="ru-RU"/>
                </w:rPr>
                <w:t>48000 рублей</w:t>
              </w:r>
            </w:hyperlink>
          </w:p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8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В стоимость входит: обучение, методический материал</w:t>
              </w:r>
            </w:hyperlink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9" w:tgtFrame="_blank" w:history="1">
              <w:r w:rsidRPr="00351A64">
                <w:rPr>
                  <w:rFonts w:ascii="Arial" w:eastAsia="Times New Roman" w:hAnsi="Arial" w:cs="Arial"/>
                  <w:b/>
                  <w:bCs/>
                  <w:lang w:eastAsia="ru-RU"/>
                </w:rPr>
                <w:t>51000 рублей</w:t>
              </w:r>
            </w:hyperlink>
          </w:p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0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В стоимость входит: обучение, методический материал, обеды в дни занятий и культурная программа.</w:t>
              </w:r>
            </w:hyperlink>
          </w:p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1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По заявке слушателей бронируется гостиница.</w:t>
              </w:r>
            </w:hyperlink>
          </w:p>
          <w:p w:rsidR="00351A64" w:rsidRPr="00351A64" w:rsidRDefault="00351A64" w:rsidP="00351A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2" w:tgtFrame="_blank" w:history="1">
              <w:r w:rsidRPr="00351A64">
                <w:rPr>
                  <w:rFonts w:ascii="Arial" w:eastAsia="Times New Roman" w:hAnsi="Arial" w:cs="Arial"/>
                  <w:sz w:val="20"/>
                  <w:lang w:eastAsia="ru-RU"/>
                </w:rPr>
                <w:t>Проживание в гостинице в стоимость обучения не входит</w:t>
              </w:r>
            </w:hyperlink>
          </w:p>
        </w:tc>
      </w:tr>
    </w:tbl>
    <w:p w:rsidR="00351A64" w:rsidRPr="00351A64" w:rsidRDefault="00351A64" w:rsidP="00351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" w:tgtFrame="_blank" w:history="1">
        <w:r w:rsidRPr="00351A64">
          <w:rPr>
            <w:rFonts w:ascii="Arial" w:eastAsia="Times New Roman" w:hAnsi="Arial" w:cs="Arial"/>
            <w:b/>
            <w:bCs/>
            <w:sz w:val="18"/>
            <w:lang w:eastAsia="ru-RU"/>
          </w:rPr>
          <w:t> </w:t>
        </w:r>
      </w:hyperlink>
    </w:p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64"/>
    <w:rsid w:val="0019307A"/>
    <w:rsid w:val="00351A64"/>
    <w:rsid w:val="0044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A64"/>
  </w:style>
  <w:style w:type="character" w:styleId="a4">
    <w:name w:val="Hyperlink"/>
    <w:basedOn w:val="a0"/>
    <w:uiPriority w:val="99"/>
    <w:semiHidden/>
    <w:unhideWhenUsed/>
    <w:rsid w:val="00351A64"/>
    <w:rPr>
      <w:color w:val="0000FF"/>
      <w:u w:val="single"/>
    </w:rPr>
  </w:style>
  <w:style w:type="character" w:styleId="a5">
    <w:name w:val="Strong"/>
    <w:basedOn w:val="a0"/>
    <w:uiPriority w:val="22"/>
    <w:qFormat/>
    <w:rsid w:val="00351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gi-bin/sentmsg?mailto=mailto%3apk@nouronline.ru" TargetMode="External"/><Relationship Id="rId18" Type="http://schemas.openxmlformats.org/officeDocument/2006/relationships/hyperlink" Target="https://e.mail.ru/cgi-bin/sentmsg?mailto=mailto%3apk@nouronline.ru" TargetMode="External"/><Relationship Id="rId26" Type="http://schemas.openxmlformats.org/officeDocument/2006/relationships/hyperlink" Target="https://e.mail.ru/cgi-bin/sentmsg?mailto=mailto%3apk@nouronline.ru" TargetMode="External"/><Relationship Id="rId39" Type="http://schemas.openxmlformats.org/officeDocument/2006/relationships/hyperlink" Target="https://e.mail.ru/cgi-bin/sentmsg?mailto=mailto%3apk@nouronline.ru" TargetMode="External"/><Relationship Id="rId21" Type="http://schemas.openxmlformats.org/officeDocument/2006/relationships/hyperlink" Target="https://e.mail.ru/cgi-bin/sentmsg?mailto=mailto%3apk@nouronline.ru" TargetMode="External"/><Relationship Id="rId34" Type="http://schemas.openxmlformats.org/officeDocument/2006/relationships/hyperlink" Target="https://e.mail.ru/cgi-bin/sentmsg?mailto=mailto%3apk@nouronline.ru" TargetMode="External"/><Relationship Id="rId42" Type="http://schemas.openxmlformats.org/officeDocument/2006/relationships/hyperlink" Target="https://e.mail.ru/cgi-bin/sentmsg?mailto=mailto%3apk@nouronline.ru" TargetMode="External"/><Relationship Id="rId47" Type="http://schemas.openxmlformats.org/officeDocument/2006/relationships/hyperlink" Target="https://e.mail.ru/cgi-bin/sentmsg?mailto=mailto%3apk@nouronline.ru" TargetMode="External"/><Relationship Id="rId50" Type="http://schemas.openxmlformats.org/officeDocument/2006/relationships/hyperlink" Target="https://e.mail.ru/cgi-bin/sentmsg?mailto=mailto%3apk@nouronline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.mail.ru/cgi-bin/sentmsg?mailto=mailto%3apk@nouronline.ru" TargetMode="External"/><Relationship Id="rId12" Type="http://schemas.openxmlformats.org/officeDocument/2006/relationships/hyperlink" Target="https://e.mail.ru/cgi-bin/sentmsg?mailto=mailto%3apk@nouronline.ru" TargetMode="External"/><Relationship Id="rId17" Type="http://schemas.openxmlformats.org/officeDocument/2006/relationships/hyperlink" Target="https://e.mail.ru/cgi-bin/sentmsg?mailto=mailto%3apk@nouronline.ru" TargetMode="External"/><Relationship Id="rId25" Type="http://schemas.openxmlformats.org/officeDocument/2006/relationships/hyperlink" Target="https://e.mail.ru/cgi-bin/sentmsg?mailto=mailto%3apk@nouronline.ru" TargetMode="External"/><Relationship Id="rId33" Type="http://schemas.openxmlformats.org/officeDocument/2006/relationships/hyperlink" Target="https://e.mail.ru/cgi-bin/sentmsg?mailto=mailto%3apk@nouronline.ru" TargetMode="External"/><Relationship Id="rId38" Type="http://schemas.openxmlformats.org/officeDocument/2006/relationships/hyperlink" Target="https://e.mail.ru/cgi-bin/sentmsg?mailto=mailto%3apk@nouronline.ru" TargetMode="External"/><Relationship Id="rId46" Type="http://schemas.openxmlformats.org/officeDocument/2006/relationships/hyperlink" Target="https://e.mail.ru/cgi-bin/sentmsg?mailto=mailto%3apk@nour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gi-bin/sentmsg?mailto=mailto%3apk@nouronline.ru" TargetMode="External"/><Relationship Id="rId20" Type="http://schemas.openxmlformats.org/officeDocument/2006/relationships/hyperlink" Target="https://e.mail.ru/cgi-bin/sentmsg?mailto=mailto%3apk@nouronline.ru" TargetMode="External"/><Relationship Id="rId29" Type="http://schemas.openxmlformats.org/officeDocument/2006/relationships/hyperlink" Target="https://e.mail.ru/cgi-bin/sentmsg?mailto=mailto%3apk@nouronline.ru" TargetMode="External"/><Relationship Id="rId41" Type="http://schemas.openxmlformats.org/officeDocument/2006/relationships/hyperlink" Target="https://e.mail.ru/cgi-bin/sentmsg?mailto=mailto%3apk@nouronline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gi-bin/sentmsg?mailto=mailto%3apk@nouronline.ru" TargetMode="External"/><Relationship Id="rId11" Type="http://schemas.openxmlformats.org/officeDocument/2006/relationships/hyperlink" Target="https://e.mail.ru/cgi-bin/sentmsg?mailto=mailto%3apk@nouronline.ru" TargetMode="External"/><Relationship Id="rId24" Type="http://schemas.openxmlformats.org/officeDocument/2006/relationships/hyperlink" Target="https://e.mail.ru/cgi-bin/sentmsg?mailto=mailto%3apk@nouronline.ru" TargetMode="External"/><Relationship Id="rId32" Type="http://schemas.openxmlformats.org/officeDocument/2006/relationships/hyperlink" Target="https://e.mail.ru/cgi-bin/sentmsg?mailto=mailto%3apk@nouronline.ru" TargetMode="External"/><Relationship Id="rId37" Type="http://schemas.openxmlformats.org/officeDocument/2006/relationships/hyperlink" Target="https://e.mail.ru/cgi-bin/sentmsg?mailto=mailto%3apk@nouronline.ru" TargetMode="External"/><Relationship Id="rId40" Type="http://schemas.openxmlformats.org/officeDocument/2006/relationships/hyperlink" Target="https://e.mail.ru/cgi-bin/sentmsg?mailto=mailto%3apk@nouronline.ru" TargetMode="External"/><Relationship Id="rId45" Type="http://schemas.openxmlformats.org/officeDocument/2006/relationships/hyperlink" Target="https://e.mail.ru/cgi-bin/sentmsg?mailto=mailto%3apk@nouronline.ru" TargetMode="External"/><Relationship Id="rId53" Type="http://schemas.openxmlformats.org/officeDocument/2006/relationships/hyperlink" Target="https://e.mail.ru/cgi-bin/sentmsg?mailto=mailto%3apk@nouronline.ru" TargetMode="External"/><Relationship Id="rId5" Type="http://schemas.openxmlformats.org/officeDocument/2006/relationships/hyperlink" Target="https://e.mail.ru/cgi-bin/sentmsg?mailto=mailto%3apk@nouronline.ru" TargetMode="External"/><Relationship Id="rId15" Type="http://schemas.openxmlformats.org/officeDocument/2006/relationships/hyperlink" Target="https://e.mail.ru/cgi-bin/sentmsg?mailto=mailto%3apk@nouronline.ru" TargetMode="External"/><Relationship Id="rId23" Type="http://schemas.openxmlformats.org/officeDocument/2006/relationships/hyperlink" Target="https://e.mail.ru/cgi-bin/sentmsg?mailto=mailto%3apk@nouronline.ru" TargetMode="External"/><Relationship Id="rId28" Type="http://schemas.openxmlformats.org/officeDocument/2006/relationships/hyperlink" Target="https://e.mail.ru/cgi-bin/sentmsg?mailto=mailto%3apk@nouronline.ru" TargetMode="External"/><Relationship Id="rId36" Type="http://schemas.openxmlformats.org/officeDocument/2006/relationships/hyperlink" Target="https://e.mail.ru/cgi-bin/sentmsg?mailto=mailto%3apk@nouronline.ru" TargetMode="External"/><Relationship Id="rId49" Type="http://schemas.openxmlformats.org/officeDocument/2006/relationships/hyperlink" Target="https://e.mail.ru/cgi-bin/sentmsg?mailto=mailto%3apk@nouronline.ru" TargetMode="External"/><Relationship Id="rId10" Type="http://schemas.openxmlformats.org/officeDocument/2006/relationships/hyperlink" Target="https://e.mail.ru/cgi-bin/sentmsg?mailto=mailto%3apk@nouronline.ru" TargetMode="External"/><Relationship Id="rId19" Type="http://schemas.openxmlformats.org/officeDocument/2006/relationships/hyperlink" Target="https://e.mail.ru/cgi-bin/sentmsg?mailto=mailto%3apk@nouronline.ru" TargetMode="External"/><Relationship Id="rId31" Type="http://schemas.openxmlformats.org/officeDocument/2006/relationships/hyperlink" Target="https://e.mail.ru/cgi-bin/sentmsg?mailto=mailto%3apk@nouronline.ru" TargetMode="External"/><Relationship Id="rId44" Type="http://schemas.openxmlformats.org/officeDocument/2006/relationships/hyperlink" Target="https://e.mail.ru/cgi-bin/sentmsg?mailto=mailto%3apk@nouronline.ru" TargetMode="External"/><Relationship Id="rId52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s://e.mail.ru/cgi-bin/sentmsg?mailto=mailto%3apk@nouronline.ru" TargetMode="External"/><Relationship Id="rId9" Type="http://schemas.openxmlformats.org/officeDocument/2006/relationships/hyperlink" Target="https://e.mail.ru/cgi-bin/sentmsg?mailto=mailto%3apk@nouronline.ru" TargetMode="External"/><Relationship Id="rId14" Type="http://schemas.openxmlformats.org/officeDocument/2006/relationships/hyperlink" Target="https://e.mail.ru/cgi-bin/sentmsg?mailto=mailto%3apk@nouronline.ru" TargetMode="External"/><Relationship Id="rId22" Type="http://schemas.openxmlformats.org/officeDocument/2006/relationships/hyperlink" Target="https://e.mail.ru/cgi-bin/sentmsg?mailto=mailto%3apk@nouronline.ru" TargetMode="External"/><Relationship Id="rId27" Type="http://schemas.openxmlformats.org/officeDocument/2006/relationships/hyperlink" Target="https://e.mail.ru/cgi-bin/sentmsg?mailto=mailto%3apk@nouronline.ru" TargetMode="External"/><Relationship Id="rId30" Type="http://schemas.openxmlformats.org/officeDocument/2006/relationships/hyperlink" Target="https://e.mail.ru/cgi-bin/sentmsg?mailto=mailto%3apk@nouronline.ru" TargetMode="External"/><Relationship Id="rId35" Type="http://schemas.openxmlformats.org/officeDocument/2006/relationships/hyperlink" Target="https://e.mail.ru/cgi-bin/sentmsg?mailto=mailto%3apk@nouronline.ru" TargetMode="External"/><Relationship Id="rId43" Type="http://schemas.openxmlformats.org/officeDocument/2006/relationships/hyperlink" Target="https://e.mail.ru/cgi-bin/sentmsg?mailto=mailto%3apk@nouronline.ru" TargetMode="External"/><Relationship Id="rId48" Type="http://schemas.openxmlformats.org/officeDocument/2006/relationships/hyperlink" Target="https://e.mail.ru/cgi-bin/sentmsg?mailto=mailto%3apk@nouronline.ru" TargetMode="External"/><Relationship Id="rId8" Type="http://schemas.openxmlformats.org/officeDocument/2006/relationships/hyperlink" Target="https://e.mail.ru/cgi-bin/sentmsg?mailto=mailto%3apk@nouronline.ru" TargetMode="External"/><Relationship Id="rId51" Type="http://schemas.openxmlformats.org/officeDocument/2006/relationships/hyperlink" Target="https://e.mail.ru/cgi-bin/sentmsg?mailto=mailto%3apk@nouronline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9378</Characters>
  <Application>Microsoft Office Word</Application>
  <DocSecurity>0</DocSecurity>
  <Lines>78</Lines>
  <Paragraphs>22</Paragraphs>
  <ScaleCrop>false</ScaleCrop>
  <Company>ЮВ ТПП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2013-04-30T04:36:00Z</dcterms:created>
  <dcterms:modified xsi:type="dcterms:W3CDTF">2013-04-30T04:37:00Z</dcterms:modified>
</cp:coreProperties>
</file>